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5.799pt;height:842.400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16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60" w:lineRule="auto"/>
        <w:ind w:left="1099" w:right="1792" w:firstLine="0"/>
      </w:pPr>
      <w:r>
        <w:rPr>
          <w:rFonts w:ascii="宋体" w:hAnsi="宋体" w:cs="宋体" w:eastAsia="宋体"/>
          <w:b/>
          <w:color w:val="0e0b27"/>
          <w:spacing w:val="-5"/>
          <w:sz w:val="40"/>
          <w:szCs w:val="40"/>
        </w:rPr>
        <w:t>NSL</w:t>
      </w:r>
      <w:r>
        <w:rPr>
          <w:rFonts w:ascii="宋体" w:hAnsi="宋体" w:cs="宋体" w:eastAsia="宋体"/>
          <w:sz w:val="40"/>
          <w:szCs w:val="40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9"/>
          <w:sz w:val="40"/>
          <w:szCs w:val="40"/>
        </w:rPr>
        <w:t>系列水性印墨﹙BPI</w:t>
      </w:r>
      <w:r>
        <w:rPr>
          <w:rFonts w:ascii="宋体" w:hAnsi="宋体" w:cs="宋体" w:eastAsia="宋体"/>
          <w:sz w:val="40"/>
          <w:szCs w:val="40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10"/>
          <w:sz w:val="40"/>
          <w:szCs w:val="40"/>
        </w:rPr>
        <w:t>認證生物可分解水性印墨﹚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N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SL</w:t>
      </w:r>
      <w:r>
        <w:rPr>
          <w:rFonts w:ascii="宋体" w:hAnsi="宋体" w:cs="宋体" w:eastAsia="宋体"/>
          <w:sz w:val="40"/>
          <w:szCs w:val="40"/>
          <w:b/>
        </w:rPr>
        <w:t> 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series</w:t>
      </w:r>
      <w:r>
        <w:rPr>
          <w:rFonts w:ascii="宋体" w:hAnsi="宋体" w:cs="宋体" w:eastAsia="宋体"/>
          <w:sz w:val="40"/>
          <w:szCs w:val="40"/>
          <w:b/>
        </w:rPr>
        <w:t> 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Biodegradable</w:t>
      </w:r>
      <w:r>
        <w:rPr>
          <w:rFonts w:ascii="宋体" w:hAnsi="宋体" w:cs="宋体" w:eastAsia="宋体"/>
          <w:sz w:val="40"/>
          <w:szCs w:val="40"/>
          <w:b/>
        </w:rPr>
        <w:t> 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water-based</w:t>
      </w:r>
      <w:r>
        <w:rPr>
          <w:rFonts w:ascii="宋体" w:hAnsi="宋体" w:cs="宋体" w:eastAsia="宋体"/>
          <w:sz w:val="40"/>
          <w:szCs w:val="40"/>
          <w:b/>
          <w:spacing w:val="35"/>
        </w:rPr>
        <w:t> </w:t>
      </w:r>
      <w:r>
        <w:rPr>
          <w:rFonts w:ascii="宋体" w:hAnsi="宋体" w:cs="宋体" w:eastAsia="宋体"/>
          <w:b/>
          <w:color w:val="0e0b27"/>
          <w:sz w:val="40"/>
          <w:szCs w:val="40"/>
        </w:rPr>
        <w:t>ink</w:t>
      </w: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ict>
      <v:shape style="position:absolute;margin-left:0.0pt;margin-top:0.0pt;width:595.799pt;height:842.400pt;mso-position-horizontal-relative:page;mso-position-vertical-relative:page;z-index:-1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31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前言：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959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近年來各廠商越來越重視綠色永續經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營的觀念，因此許多廠商開始改用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綠色塑膠﹙生物可分解塑膠﹚製作塑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膠製品，讓產品可以回歸大地被自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然分解進而減少環境的負擔，但如果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生物可分解塑膠仍使用汙染性較高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或生物不可分解的印刷墨印刷可能還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是會對環境造成衝擊，為因應市場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需求以及兼顧環保的世界潮流開發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NSL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系列水性印墨，希望能使綠色塑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膠產品更符合生物可分解的需求。但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如何證明產品可以被分解﹖須以國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際標準的測試方法，在經認證的實驗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室，實際進行模擬測試，透過完整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的測試分析報告方能證明材料分解程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度及對土壤毒性影響等等並取得相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關國際認證標章，NSL</w:t>
      </w:r>
      <w:r>
        <w:rPr>
          <w:rFonts w:ascii="宋体" w:hAnsi="宋体" w:cs="宋体" w:eastAsia="宋体"/>
          <w:sz w:val="32"/>
          <w:szCs w:val="32"/>
          <w:b/>
          <w:spacing w:val="-4"/>
        </w:rPr>
        <w:t> 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系列水性印墨產品已通過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5"/>
          <w:sz w:val="32"/>
          <w:szCs w:val="32"/>
        </w:rPr>
        <w:t>ASTM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5"/>
          <w:sz w:val="32"/>
          <w:szCs w:val="32"/>
        </w:rPr>
        <w:t>D6400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測試標準取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得美國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BPI</w:t>
      </w:r>
      <w:r>
        <w:rPr>
          <w:rFonts w:ascii="宋体" w:hAnsi="宋体" w:cs="宋体" w:eastAsia="宋体"/>
          <w:sz w:val="32"/>
          <w:szCs w:val="32"/>
          <w:b/>
          <w:spacing w:val="-2"/>
        </w:rPr>
        <w:t> 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認證為符合生物可分解規範水性印墨產品。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6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4"/>
          <w:sz w:val="32"/>
          <w:szCs w:val="32"/>
        </w:rPr>
        <w:t>何謂</w:t>
      </w:r>
      <w:r>
        <w:rPr>
          <w:rFonts w:ascii="宋体" w:hAnsi="宋体" w:cs="宋体" w:eastAsia="宋体"/>
          <w:sz w:val="32"/>
          <w:szCs w:val="32"/>
          <w:b/>
          <w:spacing w:val="-12"/>
        </w:rPr>
        <w:t> </w:t>
      </w:r>
      <w:r>
        <w:rPr>
          <w:rFonts w:ascii="宋体" w:hAnsi="宋体" w:cs="宋体" w:eastAsia="宋体"/>
          <w:b/>
          <w:color w:val="0e0b27"/>
          <w:spacing w:val="-12"/>
          <w:sz w:val="32"/>
          <w:szCs w:val="32"/>
        </w:rPr>
        <w:t>BPI</w:t>
      </w:r>
      <w:r>
        <w:rPr>
          <w:rFonts w:ascii="宋体" w:hAnsi="宋体" w:cs="宋体" w:eastAsia="宋体"/>
          <w:sz w:val="32"/>
          <w:szCs w:val="32"/>
          <w:b/>
          <w:spacing w:val="-14"/>
        </w:rPr>
        <w:t> </w:t>
      </w:r>
      <w:r>
        <w:rPr>
          <w:rFonts w:ascii="宋体" w:hAnsi="宋体" w:cs="宋体" w:eastAsia="宋体"/>
          <w:b/>
          <w:color w:val="0e0b27"/>
          <w:spacing w:val="-20"/>
          <w:sz w:val="32"/>
          <w:szCs w:val="32"/>
        </w:rPr>
        <w:t>認證:</w:t>
      </w:r>
    </w:p>
    <w:p>
      <w:pPr>
        <w:spacing w:before="0" w:after="0" w:line="207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1196" w:firstLine="0"/>
      </w:pP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BPI</w:t>
      </w:r>
      <w:r>
        <w:rPr>
          <w:rFonts w:ascii="宋体" w:hAnsi="宋体" w:cs="宋体" w:eastAsia="宋体"/>
          <w:sz w:val="32"/>
          <w:szCs w:val="32"/>
          <w:b/>
          <w:spacing w:val="-1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認證是國際生物分解產品協會</w:t>
      </w:r>
      <w:r>
        <w:rPr>
          <w:rFonts w:ascii="宋体" w:hAnsi="宋体" w:cs="宋体" w:eastAsia="宋体"/>
          <w:sz w:val="32"/>
          <w:szCs w:val="32"/>
          <w:b/>
          <w:spacing w:val="-1"/>
        </w:rPr>
        <w:t> </w:t>
      </w: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International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4"/>
          <w:sz w:val="32"/>
          <w:szCs w:val="32"/>
        </w:rPr>
        <w:t>Biodegradable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Products</w:t>
      </w:r>
      <w:r>
        <w:rPr>
          <w:rFonts w:ascii="宋体" w:hAnsi="宋体" w:cs="宋体" w:eastAsia="宋体"/>
          <w:sz w:val="32"/>
          <w:szCs w:val="32"/>
          <w:b/>
          <w:spacing w:val="-1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Institute</w:t>
      </w:r>
      <w:r>
        <w:rPr>
          <w:rFonts w:ascii="宋体" w:hAnsi="宋体" w:cs="宋体" w:eastAsia="宋体"/>
          <w:sz w:val="32"/>
          <w:szCs w:val="32"/>
          <w:b/>
          <w:spacing w:val="-1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(BPI)</w:t>
      </w:r>
      <w:r>
        <w:rPr>
          <w:rFonts w:ascii="宋体" w:hAnsi="宋体" w:cs="宋体" w:eastAsia="宋体"/>
          <w:sz w:val="32"/>
          <w:szCs w:val="32"/>
          <w:b/>
          <w:spacing w:val="-20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及美國堆肥協會</w:t>
      </w:r>
      <w:r>
        <w:rPr>
          <w:rFonts w:ascii="宋体" w:hAnsi="宋体" w:cs="宋体" w:eastAsia="宋体"/>
          <w:sz w:val="32"/>
          <w:szCs w:val="32"/>
          <w:b/>
          <w:spacing w:val="-1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United</w:t>
      </w:r>
      <w:r>
        <w:rPr>
          <w:rFonts w:ascii="宋体" w:hAnsi="宋体" w:cs="宋体" w:eastAsia="宋体"/>
          <w:sz w:val="32"/>
          <w:szCs w:val="32"/>
          <w:b/>
          <w:spacing w:val="-21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States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Composting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Council</w:t>
      </w:r>
      <w:r>
        <w:rPr>
          <w:rFonts w:ascii="宋体" w:hAnsi="宋体" w:cs="宋体" w:eastAsia="宋体"/>
          <w:sz w:val="32"/>
          <w:szCs w:val="32"/>
          <w:b/>
          <w:spacing w:val="-40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(USCC)共同成立堆肥塑膠產品認証計劃（認証計</w:t>
      </w:r>
    </w:p>
    <w:p>
      <w:pPr>
        <w:autoSpaceDE w:val="0"/>
        <w:autoSpaceDN w:val="0"/>
        <w:spacing w:before="2" w:after="0" w:line="359" w:lineRule="auto"/>
        <w:ind w:left="936" w:right="796" w:firstLine="0"/>
      </w:pPr>
      <w:r>
        <w:rPr>
          <w:rFonts w:ascii="宋体" w:hAnsi="宋体" w:cs="宋体" w:eastAsia="宋体"/>
          <w:b/>
          <w:color w:val="0e0b27"/>
          <w:sz w:val="32"/>
          <w:szCs w:val="32"/>
        </w:rPr>
        <w:t>劃），可生物分解及堆肥產品只要符合</w:t>
      </w:r>
      <w:r>
        <w:rPr>
          <w:rFonts w:ascii="宋体" w:hAnsi="宋体" w:cs="宋体" w:eastAsia="宋体"/>
          <w:sz w:val="32"/>
          <w:szCs w:val="32"/>
          <w:b/>
          <w:spacing w:val="-2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American</w:t>
      </w:r>
      <w:r>
        <w:rPr>
          <w:rFonts w:ascii="宋体" w:hAnsi="宋体" w:cs="宋体" w:eastAsia="宋体"/>
          <w:sz w:val="32"/>
          <w:szCs w:val="32"/>
          <w:b/>
          <w:spacing w:val="-2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Society</w:t>
      </w:r>
      <w:r>
        <w:rPr>
          <w:rFonts w:ascii="宋体" w:hAnsi="宋体" w:cs="宋体" w:eastAsia="宋体"/>
          <w:sz w:val="32"/>
          <w:szCs w:val="32"/>
          <w:b/>
          <w:spacing w:val="-29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for</w:t>
      </w:r>
      <w:r>
        <w:rPr>
          <w:rFonts w:ascii="宋体" w:hAnsi="宋体" w:cs="宋体" w:eastAsia="宋体"/>
          <w:sz w:val="32"/>
          <w:szCs w:val="32"/>
          <w:b/>
          <w:spacing w:val="-30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Testing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pacing w:val="-4"/>
          <w:sz w:val="32"/>
          <w:szCs w:val="32"/>
        </w:rPr>
        <w:t>and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5"/>
          <w:sz w:val="32"/>
          <w:szCs w:val="32"/>
        </w:rPr>
        <w:t>Materials（ASTM）D6400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或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4"/>
          <w:sz w:val="32"/>
          <w:szCs w:val="32"/>
        </w:rPr>
        <w:t>ASTM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4"/>
          <w:sz w:val="32"/>
          <w:szCs w:val="32"/>
        </w:rPr>
        <w:t>D6868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9"/>
          <w:sz w:val="32"/>
          <w:szCs w:val="32"/>
        </w:rPr>
        <w:t>標準，通過驗證產品能在</w:t>
      </w:r>
    </w:p>
    <w:p>
      <w:pPr>
        <w:autoSpaceDE w:val="0"/>
        <w:autoSpaceDN w:val="0"/>
        <w:spacing w:before="3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專業管理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的堆肥設施中成功分解，而不會損害堆肥品質，並能將有機廢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物成功轉移至堆肥，即可授予堆肥標章（Compostable</w:t>
      </w:r>
      <w:r>
        <w:rPr>
          <w:rFonts w:ascii="宋体" w:hAnsi="宋体" w:cs="宋体" w:eastAsia="宋体"/>
          <w:sz w:val="32"/>
          <w:szCs w:val="32"/>
          <w:b/>
          <w:spacing w:val="1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Logo）。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5" w:lineRule="exact"/>
        <w:ind w:left="0" w:right="0"/>
      </w:pPr>
    </w:p>
    <w:p>
      <w:pPr>
        <w:spacing w:before="0" w:after="0" w:line="265" w:lineRule="auto"/>
        <w:ind w:left="5868" w:right="0" w:firstLine="0"/>
      </w:pPr>
      <w:r>
        <w:rPr>
          <w:rFonts w:ascii="Times New Roman" w:hAnsi="Times New Roman" w:cs="Times New Roman" w:eastAsia="Times New Roman"/>
          <w:color w:val="072974"/>
          <w:spacing w:val="25"/>
          <w:sz w:val="28"/>
          <w:szCs w:val="28"/>
        </w:rPr>
        <w:t>2</w:t>
      </w: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ict>
      <v:shape style="position:absolute;margin-left:0.0pt;margin-top:0.0pt;width:595.799pt;height:842.400pt;mso-position-horizontal-relative:page;mso-position-vertical-relative:page;z-index:-1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31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一、產品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介紹：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956" w:firstLine="0"/>
      </w:pPr>
      <w:r>
        <w:rPr>
          <w:rFonts w:ascii="宋体" w:hAnsi="宋体" w:cs="宋体" w:eastAsia="宋体"/>
          <w:b/>
          <w:color w:val="0e0b27"/>
          <w:spacing w:val="-7"/>
          <w:sz w:val="32"/>
          <w:szCs w:val="32"/>
        </w:rPr>
        <w:t>NSL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13"/>
          <w:sz w:val="32"/>
          <w:szCs w:val="32"/>
        </w:rPr>
        <w:t>系列水性印墨已通過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8"/>
          <w:sz w:val="32"/>
          <w:szCs w:val="32"/>
        </w:rPr>
        <w:t>ASTM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D6400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14"/>
          <w:sz w:val="32"/>
          <w:szCs w:val="32"/>
        </w:rPr>
        <w:t>測試標準，並取得美國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BPI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13"/>
          <w:sz w:val="32"/>
          <w:szCs w:val="32"/>
        </w:rPr>
        <w:t>認證為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符合生物可分解規範水性印墨產品，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適用於柔版印刷機或衛星式柔版印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刷機，用於印刷生物可分解材質(EX.PLA</w:t>
      </w:r>
      <w:r>
        <w:rPr>
          <w:rFonts w:ascii="宋体" w:hAnsi="宋体" w:cs="宋体" w:eastAsia="宋体"/>
          <w:sz w:val="32"/>
          <w:szCs w:val="32"/>
          <w:b/>
          <w:spacing w:val="-75"/>
        </w:rPr>
        <w:t> 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淋膜紙)製作符合可生物分解之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產品或印刷一般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7"/>
          <w:sz w:val="32"/>
          <w:szCs w:val="32"/>
        </w:rPr>
        <w:t>PE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淋膜紙、表面處理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7"/>
          <w:sz w:val="32"/>
          <w:szCs w:val="32"/>
        </w:rPr>
        <w:t>PE、HDPE</w:t>
      </w:r>
      <w:r>
        <w:rPr>
          <w:rFonts w:ascii="宋体" w:hAnsi="宋体" w:cs="宋体" w:eastAsia="宋体"/>
          <w:sz w:val="32"/>
          <w:szCs w:val="32"/>
          <w:b/>
          <w:spacing w:val="-8"/>
        </w:rPr>
        <w:t> 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等薄膜之表面印刷。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4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二、產品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特性：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2-1</w:t>
      </w:r>
      <w:r>
        <w:rPr>
          <w:rFonts w:ascii="宋体" w:hAnsi="宋体" w:cs="宋体" w:eastAsia="宋体"/>
          <w:sz w:val="32"/>
          <w:szCs w:val="32"/>
          <w:b/>
          <w:spacing w:val="-10"/>
        </w:rPr>
        <w:t> </w:t>
      </w:r>
      <w:r>
        <w:rPr>
          <w:rFonts w:ascii="宋体" w:hAnsi="宋体" w:cs="宋体" w:eastAsia="宋体"/>
          <w:b/>
          <w:color w:val="0e0b27"/>
          <w:spacing w:val="-22"/>
          <w:sz w:val="32"/>
          <w:szCs w:val="32"/>
        </w:rPr>
        <w:t>取得美國</w:t>
      </w:r>
      <w:r>
        <w:rPr>
          <w:rFonts w:ascii="宋体" w:hAnsi="宋体" w:cs="宋体" w:eastAsia="宋体"/>
          <w:sz w:val="32"/>
          <w:szCs w:val="32"/>
          <w:b/>
          <w:spacing w:val="-11"/>
        </w:rPr>
        <w:t> </w:t>
      </w:r>
      <w:r>
        <w:rPr>
          <w:rFonts w:ascii="宋体" w:hAnsi="宋体" w:cs="宋体" w:eastAsia="宋体"/>
          <w:b/>
          <w:color w:val="0e0b27"/>
          <w:spacing w:val="-10"/>
          <w:sz w:val="32"/>
          <w:szCs w:val="32"/>
        </w:rPr>
        <w:t>BPI</w:t>
      </w:r>
      <w:r>
        <w:rPr>
          <w:rFonts w:ascii="宋体" w:hAnsi="宋体" w:cs="宋体" w:eastAsia="宋体"/>
          <w:sz w:val="32"/>
          <w:szCs w:val="32"/>
          <w:b/>
          <w:spacing w:val="-12"/>
        </w:rPr>
        <w:t> </w:t>
      </w:r>
      <w:r>
        <w:rPr>
          <w:rFonts w:ascii="宋体" w:hAnsi="宋体" w:cs="宋体" w:eastAsia="宋体"/>
          <w:b/>
          <w:color w:val="0e0b27"/>
          <w:spacing w:val="-22"/>
          <w:sz w:val="32"/>
          <w:szCs w:val="32"/>
        </w:rPr>
        <w:t>認證。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6565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2-2</w:t>
      </w:r>
      <w:r>
        <w:rPr>
          <w:rFonts w:ascii="宋体" w:hAnsi="宋体" w:cs="宋体" w:eastAsia="宋体"/>
          <w:sz w:val="32"/>
          <w:szCs w:val="32"/>
          <w:b/>
          <w:spacing w:val="-76"/>
        </w:rPr>
        <w:t> 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光澤性佳，色彩鮮明亮麗。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2-3</w:t>
      </w:r>
      <w:r>
        <w:rPr>
          <w:rFonts w:ascii="宋体" w:hAnsi="宋体" w:cs="宋体" w:eastAsia="宋体"/>
          <w:sz w:val="32"/>
          <w:szCs w:val="32"/>
          <w:b/>
          <w:spacing w:val="-83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印刷適性佳。</w:t>
      </w: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2-4</w:t>
      </w:r>
      <w:r>
        <w:rPr>
          <w:rFonts w:ascii="宋体" w:hAnsi="宋体" w:cs="宋体" w:eastAsia="宋体"/>
          <w:sz w:val="32"/>
          <w:szCs w:val="32"/>
          <w:b/>
          <w:spacing w:val="-81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耐水佳、耐冷凝水佳。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2-5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12"/>
          <w:sz w:val="32"/>
          <w:szCs w:val="32"/>
        </w:rPr>
        <w:t>附著力佳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(薄膜表面張力需達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5"/>
          <w:sz w:val="32"/>
          <w:szCs w:val="32"/>
        </w:rPr>
        <w:t>42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達因以上)。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1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三、產品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應用：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3-1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9"/>
          <w:sz w:val="32"/>
          <w:szCs w:val="32"/>
        </w:rPr>
        <w:t>印刷材質：生物可分解材質(EX.PLA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10"/>
          <w:sz w:val="32"/>
          <w:szCs w:val="32"/>
        </w:rPr>
        <w:t>淋膜紙)或一般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7"/>
          <w:sz w:val="32"/>
          <w:szCs w:val="32"/>
        </w:rPr>
        <w:t>PE</w:t>
      </w:r>
      <w:r>
        <w:rPr>
          <w:rFonts w:ascii="宋体" w:hAnsi="宋体" w:cs="宋体" w:eastAsia="宋体"/>
          <w:sz w:val="32"/>
          <w:szCs w:val="32"/>
          <w:b/>
          <w:spacing w:val="-7"/>
        </w:rPr>
        <w:t> </w:t>
      </w:r>
      <w:r>
        <w:rPr>
          <w:rFonts w:ascii="宋体" w:hAnsi="宋体" w:cs="宋体" w:eastAsia="宋体"/>
          <w:b/>
          <w:color w:val="0e0b27"/>
          <w:spacing w:val="-11"/>
          <w:sz w:val="32"/>
          <w:szCs w:val="32"/>
        </w:rPr>
        <w:t>淋膜紙、表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359" w:lineRule="auto"/>
        <w:ind w:left="936" w:right="4324" w:firstLine="2126"/>
      </w:pPr>
      <w:r>
        <w:rPr>
          <w:rFonts w:ascii="宋体" w:hAnsi="宋体" w:cs="宋体" w:eastAsia="宋体"/>
          <w:b/>
          <w:color w:val="0e0b27"/>
          <w:spacing w:val="-12"/>
          <w:sz w:val="32"/>
          <w:szCs w:val="32"/>
        </w:rPr>
        <w:t>面處理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pacing w:val="-7"/>
          <w:sz w:val="32"/>
          <w:szCs w:val="32"/>
        </w:rPr>
        <w:t>PE、HDPE</w:t>
      </w:r>
      <w:r>
        <w:rPr>
          <w:rFonts w:ascii="宋体" w:hAnsi="宋体" w:cs="宋体" w:eastAsia="宋体"/>
          <w:sz w:val="32"/>
          <w:szCs w:val="32"/>
          <w:b/>
          <w:spacing w:val="-8"/>
        </w:rPr>
        <w:t> </w:t>
      </w:r>
      <w:r>
        <w:rPr>
          <w:rFonts w:ascii="宋体" w:hAnsi="宋体" w:cs="宋体" w:eastAsia="宋体"/>
          <w:b/>
          <w:color w:val="0e0b27"/>
          <w:spacing w:val="-12"/>
          <w:sz w:val="32"/>
          <w:szCs w:val="32"/>
        </w:rPr>
        <w:t>薄膜等材質。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3-2</w:t>
      </w:r>
      <w:r>
        <w:rPr>
          <w:rFonts w:ascii="宋体" w:hAnsi="宋体" w:cs="宋体" w:eastAsia="宋体"/>
          <w:sz w:val="32"/>
          <w:szCs w:val="32"/>
          <w:b/>
          <w:spacing w:val="-89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印刷方法：柔版印刷、衛星式柔版印刷機。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3-3</w:t>
      </w:r>
      <w:r>
        <w:rPr>
          <w:rFonts w:ascii="宋体" w:hAnsi="宋体" w:cs="宋体" w:eastAsia="宋体"/>
          <w:sz w:val="32"/>
          <w:szCs w:val="32"/>
          <w:b/>
          <w:spacing w:val="-81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稀釋溶劑：水。</w:t>
      </w:r>
    </w:p>
    <w:p>
      <w:pPr>
        <w:autoSpaceDE w:val="0"/>
        <w:autoSpaceDN w:val="0"/>
        <w:spacing w:before="5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z w:val="32"/>
          <w:szCs w:val="32"/>
        </w:rPr>
        <w:t>3-4</w:t>
      </w:r>
      <w:r>
        <w:rPr>
          <w:rFonts w:ascii="宋体" w:hAnsi="宋体" w:cs="宋体" w:eastAsia="宋体"/>
          <w:sz w:val="32"/>
          <w:szCs w:val="32"/>
          <w:b/>
          <w:spacing w:val="-35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稀釋比例：印墨：稀釋溶劑</w:t>
      </w:r>
      <w:r>
        <w:rPr>
          <w:rFonts w:ascii="宋体" w:hAnsi="宋体" w:cs="宋体" w:eastAsia="宋体"/>
          <w:sz w:val="32"/>
          <w:szCs w:val="32"/>
          <w:b/>
          <w:spacing w:val="-35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=</w:t>
      </w:r>
      <w:r>
        <w:rPr>
          <w:rFonts w:ascii="宋体" w:hAnsi="宋体" w:cs="宋体" w:eastAsia="宋体"/>
          <w:sz w:val="32"/>
          <w:szCs w:val="32"/>
          <w:b/>
          <w:spacing w:val="-36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100；2~5（重量比）。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9" w:lineRule="exact"/>
        <w:ind w:left="0" w:right="0"/>
      </w:pPr>
    </w:p>
    <w:p>
      <w:pPr>
        <w:spacing w:before="0" w:after="0" w:line="265" w:lineRule="auto"/>
        <w:ind w:left="5868" w:right="0" w:firstLine="0"/>
      </w:pPr>
      <w:r>
        <w:rPr>
          <w:rFonts w:ascii="Times New Roman" w:hAnsi="Times New Roman" w:cs="Times New Roman" w:eastAsia="Times New Roman"/>
          <w:color w:val="072974"/>
          <w:spacing w:val="25"/>
          <w:sz w:val="28"/>
          <w:szCs w:val="28"/>
        </w:rPr>
        <w:t>3</w:t>
      </w: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ict>
      <v:shape style="position:absolute;margin-left:0.0pt;margin-top:0.0pt;width:595.799pt;height:842.400pt;mso-position-horizontal-relative:page;mso-position-vertical-relative:page;z-index:-1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31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四、注意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事項：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4-1</w:t>
      </w:r>
      <w:r>
        <w:rPr>
          <w:rFonts w:ascii="宋体" w:hAnsi="宋体" w:cs="宋体" w:eastAsia="宋体"/>
          <w:sz w:val="32"/>
          <w:szCs w:val="32"/>
          <w:b/>
          <w:spacing w:val="-83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印刷前請測試附著力，確定可附著後再印刷(薄膜表面張力會因時間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502" w:right="0" w:firstLine="0"/>
      </w:pP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而降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低。</w:t>
      </w:r>
    </w:p>
    <w:p>
      <w:pPr>
        <w:spacing w:before="0" w:after="0" w:line="207" w:lineRule="exact"/>
        <w:ind w:left="0" w:right="0"/>
      </w:pPr>
    </w:p>
    <w:p>
      <w:pPr>
        <w:autoSpaceDE w:val="0"/>
        <w:autoSpaceDN w:val="0"/>
        <w:spacing w:before="0" w:after="0" w:line="359" w:lineRule="auto"/>
        <w:ind w:left="1502" w:right="1042" w:firstLine="-566"/>
      </w:pP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4-2</w:t>
      </w:r>
      <w:r>
        <w:rPr>
          <w:rFonts w:ascii="宋体" w:hAnsi="宋体" w:cs="宋体" w:eastAsia="宋体"/>
          <w:sz w:val="32"/>
          <w:szCs w:val="32"/>
          <w:b/>
          <w:spacing w:val="-3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被印刷薄膜必須經過適當的表面處理(42</w:t>
      </w:r>
      <w:r>
        <w:rPr>
          <w:rFonts w:ascii="宋体" w:hAnsi="宋体" w:cs="宋体" w:eastAsia="宋体"/>
          <w:sz w:val="32"/>
          <w:szCs w:val="32"/>
          <w:b/>
          <w:spacing w:val="-5"/>
        </w:rPr>
        <w:t> </w:t>
      </w:r>
      <w:r>
        <w:rPr>
          <w:rFonts w:ascii="宋体" w:hAnsi="宋体" w:cs="宋体" w:eastAsia="宋体"/>
          <w:b/>
          <w:color w:val="0e0b27"/>
          <w:spacing w:val="-6"/>
          <w:sz w:val="32"/>
          <w:szCs w:val="32"/>
        </w:rPr>
        <w:t>達因以上)，才能確保印刷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物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成品附著性之品質，假若薄膜表面處理不足或不當，均易導致附</w:t>
      </w: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著性不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良。</w:t>
      </w:r>
    </w:p>
    <w:p>
      <w:pPr>
        <w:autoSpaceDE w:val="0"/>
        <w:autoSpaceDN w:val="0"/>
        <w:spacing w:before="5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4-3</w:t>
      </w:r>
      <w:r>
        <w:rPr>
          <w:rFonts w:ascii="宋体" w:hAnsi="宋体" w:cs="宋体" w:eastAsia="宋体"/>
          <w:sz w:val="32"/>
          <w:szCs w:val="32"/>
          <w:b/>
          <w:spacing w:val="-82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印刷機乾燥設備必須加強以確保印刷後能完全乾燥，且捲收前做好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502" w:right="0" w:firstLine="0"/>
      </w:pPr>
      <w:r>
        <w:rPr>
          <w:rFonts w:ascii="宋体" w:hAnsi="宋体" w:cs="宋体" w:eastAsia="宋体"/>
          <w:b/>
          <w:color w:val="0e0b27"/>
          <w:spacing w:val="-3"/>
          <w:sz w:val="32"/>
          <w:szCs w:val="32"/>
        </w:rPr>
        <w:t>降溫動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作。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4-4</w:t>
      </w:r>
      <w:r>
        <w:rPr>
          <w:rFonts w:ascii="宋体" w:hAnsi="宋体" w:cs="宋体" w:eastAsia="宋体"/>
          <w:sz w:val="32"/>
          <w:szCs w:val="32"/>
          <w:b/>
          <w:spacing w:val="-83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水墨使用前，請先充分攪拌均勻。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五、包裝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規格：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z w:val="32"/>
          <w:szCs w:val="32"/>
        </w:rPr>
        <w:t>5-1.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18</w:t>
      </w:r>
      <w:r>
        <w:rPr>
          <w:rFonts w:ascii="宋体" w:hAnsi="宋体" w:cs="宋体" w:eastAsia="宋体"/>
          <w:sz w:val="32"/>
          <w:szCs w:val="32"/>
          <w:b/>
          <w:spacing w:val="-6"/>
        </w:rPr>
        <w:t> </w:t>
      </w:r>
      <w:r>
        <w:rPr>
          <w:rFonts w:ascii="宋体" w:hAnsi="宋体" w:cs="宋体" w:eastAsia="宋体"/>
          <w:b/>
          <w:color w:val="0e0b27"/>
          <w:sz w:val="32"/>
          <w:szCs w:val="32"/>
        </w:rPr>
        <w:t>KGS/桶.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9" w:lineRule="exact"/>
        <w:ind w:left="0" w:right="0"/>
      </w:pPr>
    </w:p>
    <w:p>
      <w:pPr>
        <w:spacing w:before="0" w:after="0" w:line="265" w:lineRule="auto"/>
        <w:ind w:left="5868" w:right="0" w:firstLine="0"/>
      </w:pPr>
      <w:r>
        <w:rPr>
          <w:rFonts w:ascii="Times New Roman" w:hAnsi="Times New Roman" w:cs="Times New Roman" w:eastAsia="Times New Roman"/>
          <w:color w:val="072974"/>
          <w:spacing w:val="25"/>
          <w:sz w:val="28"/>
          <w:szCs w:val="28"/>
        </w:rPr>
        <w:t>4</w:t>
      </w: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ict>
      <v:shape style="position:absolute;margin-left:0.0pt;margin-top:0.0pt;width:595.799pt;height:842.400pt;mso-position-horizontal-relative:page;mso-position-vertical-relative:page;z-index:-1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spacing w:before="0" w:after="0" w:line="310" w:lineRule="exact"/>
        <w:ind w:left="0" w:right="0"/>
      </w:pPr>
    </w:p>
    <w:p>
      <w:pPr>
        <w:sectPr>
          <w:type w:val="continuous"/>
          <w:pgSz w:w="11906" w:h="16838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六、產品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儲藏：</w:t>
      </w:r>
    </w:p>
    <w:p>
      <w:pPr>
        <w:spacing w:before="0" w:after="0" w:line="210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6-1.</w:t>
      </w:r>
      <w:r>
        <w:rPr>
          <w:rFonts w:ascii="宋体" w:hAnsi="宋体" w:cs="宋体" w:eastAsia="宋体"/>
          <w:sz w:val="32"/>
          <w:szCs w:val="32"/>
          <w:b/>
          <w:spacing w:val="-1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本產品需儲存陰涼、乾燥、通風良好以及陽光無法直接照射的地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1785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方，遠離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熱源、發光源及不相容物。</w:t>
      </w:r>
    </w:p>
    <w:p>
      <w:pPr>
        <w:spacing w:before="0" w:after="0" w:line="20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6-2.</w:t>
      </w:r>
      <w:r>
        <w:rPr>
          <w:rFonts w:ascii="宋体" w:hAnsi="宋体" w:cs="宋体" w:eastAsia="宋体"/>
          <w:sz w:val="32"/>
          <w:szCs w:val="32"/>
          <w:b/>
          <w:spacing w:val="-1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本產品倒出後，應儘早用完，不可暴露於光線下。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6-3.</w:t>
      </w:r>
      <w:r>
        <w:rPr>
          <w:rFonts w:ascii="宋体" w:hAnsi="宋体" w:cs="宋体" w:eastAsia="宋体"/>
          <w:sz w:val="32"/>
          <w:szCs w:val="32"/>
          <w:b/>
          <w:spacing w:val="-2"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不要將受污染之貨品倒回原儲存容器。</w:t>
      </w:r>
    </w:p>
    <w:p>
      <w:pPr>
        <w:spacing w:before="0" w:after="0" w:line="207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6-4.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容器要標示，不使用時請保持緊密並避免受損。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1202" w:firstLine="0"/>
      </w:pP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6-5.</w:t>
      </w:r>
      <w:r>
        <w:rPr>
          <w:rFonts w:ascii="宋体" w:hAnsi="宋体" w:cs="宋体" w:eastAsia="宋体"/>
          <w:sz w:val="32"/>
          <w:szCs w:val="32"/>
          <w:b/>
        </w:rPr>
        <w:t> 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貯存區應標示，通道無障礙物，限指定或受過訓練人員進入。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6-6.</w:t>
      </w:r>
      <w:r>
        <w:rPr>
          <w:rFonts w:ascii="宋体" w:hAnsi="宋体" w:cs="宋体" w:eastAsia="宋体"/>
          <w:sz w:val="32"/>
          <w:szCs w:val="32"/>
          <w:b/>
          <w:spacing w:val="14"/>
        </w:rPr>
        <w:t> 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貯存區和大量操作的區域，考慮安裝溢漏和火災偵測系統及適當</w:t>
      </w:r>
    </w:p>
    <w:p>
      <w:pPr>
        <w:autoSpaceDE w:val="0"/>
        <w:autoSpaceDN w:val="0"/>
        <w:spacing w:before="2" w:after="0" w:line="240" w:lineRule="auto"/>
        <w:ind w:left="1785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的自動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消防系統或足夠但可用的緊急處理設備。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936" w:right="0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七、備註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說明：</w:t>
      </w:r>
    </w:p>
    <w:p>
      <w:pPr>
        <w:spacing w:before="0" w:after="0" w:line="208" w:lineRule="exact"/>
        <w:ind w:left="0" w:right="0"/>
      </w:pPr>
    </w:p>
    <w:p>
      <w:pPr>
        <w:autoSpaceDE w:val="0"/>
        <w:autoSpaceDN w:val="0"/>
        <w:spacing w:before="0" w:after="0" w:line="360" w:lineRule="auto"/>
        <w:ind w:left="936" w:right="1042" w:firstLine="0"/>
      </w:pP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以上相關數據資料是本公司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實驗室的驗證所得，因使用之印刷條件或因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被印刷材質之不同，皆會影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響結果，請使用者先行測試相關所需之特性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並確認後再行使用。若有任</w:t>
      </w:r>
      <w:r>
        <w:rPr>
          <w:rFonts w:ascii="宋体" w:hAnsi="宋体" w:cs="宋体" w:eastAsia="宋体"/>
          <w:b/>
          <w:color w:val="0e0b27"/>
          <w:spacing w:val="-1"/>
          <w:sz w:val="32"/>
          <w:szCs w:val="32"/>
        </w:rPr>
        <w:t>何問題或進一步需求，歡迎洽詢相關人員探</w:t>
      </w:r>
      <w:r>
        <w:rPr>
          <w:rFonts w:ascii="宋体" w:hAnsi="宋体" w:cs="宋体" w:eastAsia="宋体"/>
          <w:b/>
          <w:color w:val="0e0b27"/>
          <w:spacing w:val="-2"/>
          <w:sz w:val="32"/>
          <w:szCs w:val="32"/>
        </w:rPr>
        <w:t>討。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9" w:lineRule="exact"/>
        <w:ind w:left="0" w:right="0"/>
      </w:pPr>
    </w:p>
    <w:p>
      <w:pPr>
        <w:spacing w:before="0" w:after="0" w:line="265" w:lineRule="auto"/>
        <w:ind w:left="5868" w:right="0" w:firstLine="0"/>
      </w:pPr>
      <w:r>
        <w:rPr>
          <w:rFonts w:ascii="Times New Roman" w:hAnsi="Times New Roman" w:cs="Times New Roman" w:eastAsia="Times New Roman"/>
          <w:color w:val="072974"/>
          <w:spacing w:val="25"/>
          <w:sz w:val="28"/>
          <w:szCs w:val="28"/>
        </w:rPr>
        <w:t>5</w:t>
      </w:r>
    </w:p>
    <w:sectPr>
      <w:type w:val="continuous"/>
      <w:pgSz w:w="11906" w:h="16838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